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1B4" w:rsidRPr="00CD63C8" w:rsidRDefault="00BB71B4" w:rsidP="00BB71B4">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00400B35">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276AD1" w:rsidRPr="00276AD1">
        <w:rPr>
          <w:rFonts w:ascii="Arial" w:eastAsia="MS Mincho" w:hAnsi="Arial" w:cs="Arial"/>
          <w:b/>
          <w:sz w:val="24"/>
          <w:szCs w:val="24"/>
        </w:rPr>
        <w:t>R4-2113041</w:t>
      </w:r>
    </w:p>
    <w:p w:rsidR="00BB71B4" w:rsidRPr="00CD63C8" w:rsidRDefault="00844049" w:rsidP="00BB71B4">
      <w:pPr>
        <w:tabs>
          <w:tab w:val="right" w:pos="9781"/>
          <w:tab w:val="right" w:pos="13323"/>
        </w:tabs>
        <w:autoSpaceDE/>
        <w:autoSpaceDN/>
        <w:adjustRightInd/>
        <w:spacing w:after="0"/>
        <w:outlineLvl w:val="0"/>
        <w:rPr>
          <w:rFonts w:ascii="Arial" w:hAnsi="Arial"/>
          <w:b/>
          <w:sz w:val="24"/>
          <w:szCs w:val="24"/>
          <w:lang w:eastAsia="zh-CN"/>
        </w:rPr>
      </w:pPr>
      <w:r w:rsidRPr="00B23518">
        <w:rPr>
          <w:rFonts w:ascii="Arial" w:hAnsi="Arial" w:cs="Arial"/>
          <w:b/>
          <w:sz w:val="24"/>
          <w:szCs w:val="24"/>
          <w:lang w:eastAsia="zh-CN"/>
        </w:rPr>
        <w:t>Electronic Meeting, August 16-27, 2021</w:t>
      </w:r>
    </w:p>
    <w:p w:rsidR="00237FCA" w:rsidRPr="009D3032" w:rsidRDefault="00237FCA" w:rsidP="00563F22">
      <w:pPr>
        <w:ind w:left="1985" w:hanging="1985"/>
        <w:rPr>
          <w:rFonts w:ascii="Arial" w:hAnsi="Arial"/>
          <w:b/>
          <w:noProof/>
          <w:sz w:val="24"/>
          <w:szCs w:val="20"/>
          <w:lang w:eastAsia="zh-CN"/>
        </w:rPr>
      </w:pPr>
    </w:p>
    <w:p w:rsidR="00563F22" w:rsidRPr="00023C30" w:rsidRDefault="00563F22" w:rsidP="00563F22">
      <w:pPr>
        <w:ind w:left="1985" w:hanging="1985"/>
        <w:rPr>
          <w:rFonts w:ascii="Arial" w:hAnsi="Arial" w:cs="Arial"/>
        </w:rPr>
      </w:pPr>
      <w:r w:rsidRPr="00790524">
        <w:rPr>
          <w:rFonts w:ascii="Arial" w:hAnsi="Arial" w:cs="Arial"/>
          <w:b/>
        </w:rPr>
        <w:t xml:space="preserve">Source: </w:t>
      </w:r>
      <w:r w:rsidRPr="00790524">
        <w:rPr>
          <w:rFonts w:ascii="Arial" w:hAnsi="Arial" w:cs="Arial"/>
          <w:b/>
        </w:rPr>
        <w:tab/>
      </w:r>
      <w:r w:rsidR="0022484B" w:rsidRPr="00023C30">
        <w:rPr>
          <w:rFonts w:ascii="Arial" w:hAnsi="Arial" w:cs="Arial"/>
        </w:rPr>
        <w:t>Huawei, HiSilicon</w:t>
      </w:r>
    </w:p>
    <w:p w:rsidR="00563F22" w:rsidRPr="009A31FD"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C623E6">
        <w:rPr>
          <w:rFonts w:ascii="Arial" w:hAnsi="Arial" w:cs="Arial"/>
        </w:rPr>
        <w:t>on REFSENS Table split and s</w:t>
      </w:r>
      <w:r w:rsidR="009A31FD" w:rsidRPr="009A31FD">
        <w:rPr>
          <w:rFonts w:ascii="Arial" w:hAnsi="Arial" w:cs="Arial"/>
        </w:rPr>
        <w:t>implification</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2A3041" w:rsidRPr="002A3041">
        <w:rPr>
          <w:rFonts w:ascii="Arial" w:hAnsi="Arial" w:cs="Arial"/>
        </w:rPr>
        <w:t>8.27.2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E54FE2">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023C30" w:rsidRDefault="00023C30" w:rsidP="00023C30">
      <w:pPr>
        <w:rPr>
          <w:lang w:eastAsia="zh-CN"/>
        </w:rPr>
      </w:pPr>
      <w:r>
        <w:rPr>
          <w:lang w:eastAsia="zh-CN"/>
        </w:rPr>
        <w:t>O</w:t>
      </w:r>
      <w:r w:rsidRPr="00023C30">
        <w:rPr>
          <w:lang w:eastAsia="zh-CN"/>
        </w:rPr>
        <w:t>n UE REFSENS</w:t>
      </w:r>
      <w:r w:rsidR="009A31FD">
        <w:rPr>
          <w:lang w:eastAsia="zh-CN"/>
        </w:rPr>
        <w:t xml:space="preserve"> the</w:t>
      </w:r>
      <w:r w:rsidR="009A31FD" w:rsidRPr="009A31FD">
        <w:t xml:space="preserve"> </w:t>
      </w:r>
      <w:r w:rsidR="009A31FD" w:rsidRPr="009A31FD">
        <w:rPr>
          <w:lang w:eastAsia="zh-CN"/>
        </w:rPr>
        <w:t xml:space="preserve">REFSENS </w:t>
      </w:r>
      <w:r w:rsidR="009A31FD">
        <w:rPr>
          <w:lang w:eastAsia="zh-CN"/>
        </w:rPr>
        <w:t>table split and s</w:t>
      </w:r>
      <w:r w:rsidR="009A31FD" w:rsidRPr="009A31FD">
        <w:rPr>
          <w:lang w:eastAsia="zh-CN"/>
        </w:rPr>
        <w:t>implification</w:t>
      </w:r>
      <w:r w:rsidR="009A31FD">
        <w:rPr>
          <w:lang w:eastAsia="zh-CN"/>
        </w:rPr>
        <w:t xml:space="preserve"> has been discussed in last meetings</w:t>
      </w:r>
      <w:r>
        <w:rPr>
          <w:lang w:eastAsia="zh-CN"/>
        </w:rPr>
        <w:t xml:space="preserve">. In this contribution we provide some </w:t>
      </w:r>
      <w:r w:rsidR="00400B35">
        <w:rPr>
          <w:lang w:eastAsia="zh-CN"/>
        </w:rPr>
        <w:t>consideration on the open issue as identified in the WF [1]</w:t>
      </w:r>
      <w:r w:rsidR="006A4575">
        <w:rPr>
          <w:lang w:eastAsia="zh-CN"/>
        </w:rPr>
        <w:t>.</w:t>
      </w:r>
    </w:p>
    <w:p w:rsidR="005E56EE" w:rsidRPr="009A31FD" w:rsidRDefault="00D86694" w:rsidP="009A31FD">
      <w:pPr>
        <w:numPr>
          <w:ilvl w:val="0"/>
          <w:numId w:val="12"/>
        </w:numPr>
        <w:rPr>
          <w:lang w:eastAsia="zh-CN"/>
        </w:rPr>
      </w:pPr>
      <w:r w:rsidRPr="009A31FD">
        <w:rPr>
          <w:lang w:eastAsia="zh-CN"/>
        </w:rPr>
        <w:t>Based on the tentative agreement in [99-e][121] email discussions [6], equation-based representation is used to simplify the FR1 REFSENS table format.</w:t>
      </w:r>
    </w:p>
    <w:p w:rsidR="005E56EE" w:rsidRPr="009A31FD" w:rsidRDefault="00D86694" w:rsidP="009A31FD">
      <w:pPr>
        <w:numPr>
          <w:ilvl w:val="0"/>
          <w:numId w:val="12"/>
        </w:numPr>
        <w:rPr>
          <w:lang w:eastAsia="zh-CN"/>
        </w:rPr>
      </w:pPr>
      <w:r w:rsidRPr="009A31FD">
        <w:rPr>
          <w:lang w:eastAsia="zh-CN"/>
        </w:rPr>
        <w:t>Decide the simplification of FR1 REFSENS table format based one of the following options in next RAN4 meeting:</w:t>
      </w:r>
    </w:p>
    <w:p w:rsidR="005E56EE" w:rsidRPr="009A31FD" w:rsidRDefault="00D86694" w:rsidP="009A31FD">
      <w:pPr>
        <w:numPr>
          <w:ilvl w:val="1"/>
          <w:numId w:val="12"/>
        </w:numPr>
        <w:rPr>
          <w:lang w:eastAsia="zh-CN"/>
        </w:rPr>
      </w:pPr>
      <w:r w:rsidRPr="009A31FD">
        <w:rPr>
          <w:b/>
          <w:bCs/>
          <w:lang w:eastAsia="zh-CN"/>
        </w:rPr>
        <w:t>Option 1</w:t>
      </w:r>
      <w:r w:rsidRPr="009A31FD">
        <w:rPr>
          <w:lang w:eastAsia="zh-CN"/>
        </w:rPr>
        <w:t>: One table for TDD bands (equation-based REFSENS) and the other table for FDD and SDL bands (explicit REFSENS values) [2]</w:t>
      </w:r>
    </w:p>
    <w:p w:rsidR="005E56EE" w:rsidRPr="009A31FD" w:rsidRDefault="00D86694" w:rsidP="009A31FD">
      <w:pPr>
        <w:numPr>
          <w:ilvl w:val="1"/>
          <w:numId w:val="12"/>
        </w:numPr>
        <w:rPr>
          <w:lang w:eastAsia="zh-CN"/>
        </w:rPr>
      </w:pPr>
      <w:r w:rsidRPr="009A31FD">
        <w:rPr>
          <w:b/>
          <w:bCs/>
          <w:lang w:eastAsia="zh-CN"/>
        </w:rPr>
        <w:t>Option 2</w:t>
      </w:r>
      <w:r w:rsidRPr="009A31FD">
        <w:rPr>
          <w:lang w:eastAsia="zh-CN"/>
        </w:rPr>
        <w:t>: One table for all FR1 bands without MSD (equation-based REFSENS) and the other table for FDD bands with MSD (MSD is additive to the same band with equation-based REFSENS) [3]</w:t>
      </w:r>
    </w:p>
    <w:p w:rsidR="005E56EE" w:rsidRPr="009A31FD" w:rsidRDefault="00D86694" w:rsidP="009A31FD">
      <w:pPr>
        <w:numPr>
          <w:ilvl w:val="1"/>
          <w:numId w:val="12"/>
        </w:numPr>
        <w:rPr>
          <w:lang w:eastAsia="zh-CN"/>
        </w:rPr>
      </w:pPr>
      <w:r w:rsidRPr="009A31FD">
        <w:rPr>
          <w:b/>
          <w:bCs/>
          <w:lang w:eastAsia="zh-CN"/>
        </w:rPr>
        <w:t>Option 3</w:t>
      </w:r>
      <w:r w:rsidRPr="009A31FD">
        <w:rPr>
          <w:lang w:eastAsia="zh-CN"/>
        </w:rPr>
        <w:t>: One table for all FR1 bands (unified equation-based REFSENS) [4]</w:t>
      </w:r>
    </w:p>
    <w:p w:rsidR="005E56EE" w:rsidRPr="009A31FD" w:rsidRDefault="00D86694" w:rsidP="009A31FD">
      <w:pPr>
        <w:numPr>
          <w:ilvl w:val="1"/>
          <w:numId w:val="12"/>
        </w:numPr>
        <w:rPr>
          <w:lang w:eastAsia="zh-CN"/>
        </w:rPr>
      </w:pPr>
      <w:r w:rsidRPr="009A31FD">
        <w:rPr>
          <w:b/>
          <w:bCs/>
          <w:lang w:eastAsia="zh-CN"/>
        </w:rPr>
        <w:t>Option 4</w:t>
      </w:r>
      <w:r w:rsidRPr="009A31FD">
        <w:rPr>
          <w:lang w:eastAsia="zh-CN"/>
        </w:rPr>
        <w:t>: Other proposals</w:t>
      </w:r>
    </w:p>
    <w:p w:rsidR="005E56EE" w:rsidRPr="009A31FD" w:rsidRDefault="00D86694" w:rsidP="009A31FD">
      <w:pPr>
        <w:numPr>
          <w:ilvl w:val="0"/>
          <w:numId w:val="12"/>
        </w:numPr>
        <w:rPr>
          <w:lang w:eastAsia="zh-CN"/>
        </w:rPr>
      </w:pPr>
      <w:r w:rsidRPr="009A31FD">
        <w:rPr>
          <w:lang w:eastAsia="zh-CN"/>
        </w:rPr>
        <w:t>Companies are encouraged to assess whether equation-based REFSENS representation would have impact on RAN5 specifications.</w:t>
      </w:r>
    </w:p>
    <w:p w:rsidR="005E56EE" w:rsidRPr="009A31FD" w:rsidRDefault="00D86694" w:rsidP="009A31FD">
      <w:pPr>
        <w:numPr>
          <w:ilvl w:val="1"/>
          <w:numId w:val="12"/>
        </w:numPr>
        <w:rPr>
          <w:lang w:eastAsia="zh-CN"/>
        </w:rPr>
      </w:pPr>
      <w:r w:rsidRPr="009A31FD">
        <w:rPr>
          <w:lang w:eastAsia="zh-CN"/>
        </w:rPr>
        <w:t>Notice that equation-based representation has been applied in some UE RF requirements, such as ACS requirements.</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814E03" w:rsidRDefault="00D44812" w:rsidP="003D4A9C">
      <w:pPr>
        <w:rPr>
          <w:lang w:eastAsia="zh-CN"/>
        </w:rPr>
      </w:pPr>
      <w:r>
        <w:rPr>
          <w:lang w:eastAsia="zh-CN"/>
        </w:rPr>
        <w:t xml:space="preserve">Per way forward on </w:t>
      </w:r>
      <w:r w:rsidR="009A31FD" w:rsidRPr="009A31FD">
        <w:rPr>
          <w:lang w:eastAsia="zh-CN"/>
        </w:rPr>
        <w:t xml:space="preserve">REFSENS </w:t>
      </w:r>
      <w:r w:rsidR="009A31FD">
        <w:rPr>
          <w:lang w:eastAsia="zh-CN"/>
        </w:rPr>
        <w:t>table split and s</w:t>
      </w:r>
      <w:r w:rsidR="009A31FD" w:rsidRPr="009A31FD">
        <w:rPr>
          <w:lang w:eastAsia="zh-CN"/>
        </w:rPr>
        <w:t>implification</w:t>
      </w:r>
      <w:r w:rsidR="00023C30" w:rsidRPr="00023C30">
        <w:rPr>
          <w:lang w:eastAsia="zh-CN"/>
        </w:rPr>
        <w:t xml:space="preserve"> </w:t>
      </w:r>
      <w:r w:rsidR="00023C30">
        <w:rPr>
          <w:lang w:eastAsia="zh-CN"/>
        </w:rPr>
        <w:t>[1</w:t>
      </w:r>
      <w:r>
        <w:rPr>
          <w:lang w:eastAsia="zh-CN"/>
        </w:rPr>
        <w:t>],</w:t>
      </w:r>
      <w:r w:rsidR="00023C30">
        <w:rPr>
          <w:lang w:eastAsia="zh-CN"/>
        </w:rPr>
        <w:t xml:space="preserve"> </w:t>
      </w:r>
      <w:r w:rsidR="006A4575">
        <w:rPr>
          <w:lang w:eastAsia="zh-CN"/>
        </w:rPr>
        <w:t xml:space="preserve">there are </w:t>
      </w:r>
      <w:r w:rsidR="009A31FD">
        <w:rPr>
          <w:lang w:eastAsia="zh-CN"/>
        </w:rPr>
        <w:t>4</w:t>
      </w:r>
      <w:r w:rsidR="006A4575">
        <w:rPr>
          <w:lang w:eastAsia="zh-CN"/>
        </w:rPr>
        <w:t xml:space="preserve"> options to be further investigated.</w:t>
      </w:r>
    </w:p>
    <w:p w:rsidR="00E54FE2" w:rsidRDefault="00E54FE2" w:rsidP="003D4A9C">
      <w:pPr>
        <w:rPr>
          <w:lang w:eastAsia="zh-CN"/>
        </w:rPr>
      </w:pPr>
      <w:r>
        <w:rPr>
          <w:lang w:eastAsia="zh-CN"/>
        </w:rPr>
        <w:t>For option 1, since we do not have request on 35 MHz and 45 MHz for TDD bands and FDD do not have larger than 50 MHz channel bandwidths, it can provide a good readability as shown in CR [2].</w:t>
      </w:r>
    </w:p>
    <w:p w:rsidR="009A31FD" w:rsidRDefault="009A31FD" w:rsidP="003D4A9C">
      <w:pPr>
        <w:rPr>
          <w:lang w:eastAsia="zh-CN"/>
        </w:rPr>
      </w:pPr>
      <w:r>
        <w:rPr>
          <w:lang w:eastAsia="zh-CN"/>
        </w:rPr>
        <w:t>For option 2, for some band with existing supported channel bandwidth, no MSD is</w:t>
      </w:r>
      <w:r w:rsidR="00C44A6C">
        <w:rPr>
          <w:lang w:eastAsia="zh-CN"/>
        </w:rPr>
        <w:t xml:space="preserve"> required but it can</w:t>
      </w:r>
      <w:r>
        <w:rPr>
          <w:lang w:eastAsia="zh-CN"/>
        </w:rPr>
        <w:t>not prevent there are some channel bandwidths are introduced in the future will need MSD</w:t>
      </w:r>
      <w:r w:rsidR="00C44A6C">
        <w:rPr>
          <w:lang w:eastAsia="zh-CN"/>
        </w:rPr>
        <w:t>, e.g. wider channel bandwidth is added.</w:t>
      </w:r>
      <w:r>
        <w:rPr>
          <w:lang w:eastAsia="zh-CN"/>
        </w:rPr>
        <w:t xml:space="preserve"> </w:t>
      </w:r>
      <w:r w:rsidR="00C44A6C">
        <w:rPr>
          <w:lang w:eastAsia="zh-CN"/>
        </w:rPr>
        <w:t>Hence it will introduce a potential issue for option 2.</w:t>
      </w:r>
    </w:p>
    <w:p w:rsidR="00C44A6C" w:rsidRDefault="00C44A6C" w:rsidP="003D4A9C">
      <w:pPr>
        <w:rPr>
          <w:lang w:eastAsia="zh-CN"/>
        </w:rPr>
      </w:pPr>
      <w:r>
        <w:rPr>
          <w:lang w:eastAsia="zh-CN"/>
        </w:rPr>
        <w:t xml:space="preserve">For option 3, for the band with MSD defined, due to complexity of MSD sources, the unified equation will not be easy to </w:t>
      </w:r>
      <w:r w:rsidR="00E54FE2">
        <w:rPr>
          <w:lang w:eastAsia="zh-CN"/>
        </w:rPr>
        <w:t>find a suitable equation.</w:t>
      </w:r>
    </w:p>
    <w:p w:rsidR="00E54FE2" w:rsidRDefault="00E54FE2" w:rsidP="003D4A9C">
      <w:pPr>
        <w:rPr>
          <w:lang w:eastAsia="zh-CN"/>
        </w:rPr>
      </w:pPr>
      <w:r>
        <w:rPr>
          <w:lang w:eastAsia="zh-CN"/>
        </w:rPr>
        <w:t>Based on the discussion above,</w:t>
      </w:r>
    </w:p>
    <w:p w:rsidR="00E54FE2" w:rsidRPr="00E54FE2" w:rsidRDefault="00E54FE2" w:rsidP="003D4A9C">
      <w:pPr>
        <w:rPr>
          <w:b/>
          <w:lang w:eastAsia="zh-CN"/>
        </w:rPr>
      </w:pPr>
      <w:r w:rsidRPr="00E54FE2">
        <w:rPr>
          <w:b/>
          <w:lang w:eastAsia="zh-CN"/>
        </w:rPr>
        <w:t>Proposal 1:</w:t>
      </w:r>
      <w:r w:rsidR="00C56D85">
        <w:rPr>
          <w:b/>
          <w:lang w:eastAsia="zh-CN"/>
        </w:rPr>
        <w:t xml:space="preserve"> </w:t>
      </w:r>
      <w:r w:rsidR="00C56D85" w:rsidRPr="00C56D85">
        <w:rPr>
          <w:lang w:eastAsia="zh-CN"/>
        </w:rPr>
        <w:t>One table for TDD bands and the other table for FDD and SDL bands</w:t>
      </w:r>
    </w:p>
    <w:p w:rsidR="00C56D85" w:rsidRDefault="00C56D85" w:rsidP="003D4A9C">
      <w:pPr>
        <w:rPr>
          <w:lang w:eastAsia="zh-CN"/>
        </w:rPr>
      </w:pPr>
      <w:r>
        <w:rPr>
          <w:lang w:eastAsia="zh-CN"/>
        </w:rPr>
        <w:t>T</w:t>
      </w:r>
      <w:r>
        <w:rPr>
          <w:rFonts w:hint="eastAsia"/>
          <w:lang w:eastAsia="zh-CN"/>
        </w:rPr>
        <w:t>h</w:t>
      </w:r>
      <w:r>
        <w:rPr>
          <w:lang w:eastAsia="zh-CN"/>
        </w:rPr>
        <w:t xml:space="preserve">e other issue is </w:t>
      </w:r>
      <w:r w:rsidRPr="00C56D85">
        <w:rPr>
          <w:lang w:eastAsia="zh-CN"/>
        </w:rPr>
        <w:t>whether equation-based REFSENS representation would have impact on RAN5 specifications</w:t>
      </w:r>
      <w:r>
        <w:rPr>
          <w:lang w:eastAsia="zh-CN"/>
        </w:rPr>
        <w:t xml:space="preserve">. From our understanding, as long as the </w:t>
      </w:r>
      <w:r w:rsidRPr="00C56D85">
        <w:rPr>
          <w:lang w:eastAsia="zh-CN"/>
        </w:rPr>
        <w:t xml:space="preserve">value does not change, the impact on RAN5 is not </w:t>
      </w:r>
      <w:r>
        <w:rPr>
          <w:lang w:eastAsia="zh-CN"/>
        </w:rPr>
        <w:t>an issue</w:t>
      </w:r>
      <w:r w:rsidRPr="00C56D85">
        <w:rPr>
          <w:lang w:eastAsia="zh-CN"/>
        </w:rPr>
        <w:t>.</w:t>
      </w:r>
      <w:r>
        <w:rPr>
          <w:lang w:eastAsia="zh-CN"/>
        </w:rPr>
        <w:t xml:space="preserve"> Therefore, </w:t>
      </w:r>
      <w:r w:rsidRPr="00C56D85">
        <w:rPr>
          <w:lang w:eastAsia="zh-CN"/>
        </w:rPr>
        <w:t xml:space="preserve">the impact is that the calculation of the specific sensitivity value </w:t>
      </w:r>
      <w:r>
        <w:rPr>
          <w:lang w:eastAsia="zh-CN"/>
        </w:rPr>
        <w:t xml:space="preserve">per band per CBW </w:t>
      </w:r>
      <w:r w:rsidRPr="00C56D85">
        <w:rPr>
          <w:lang w:eastAsia="zh-CN"/>
        </w:rPr>
        <w:t>is moved from RAN4 to RAN5</w:t>
      </w:r>
      <w:r>
        <w:rPr>
          <w:lang w:eastAsia="zh-CN"/>
        </w:rPr>
        <w:t>, based on the well-defined equations</w:t>
      </w:r>
      <w:r w:rsidRPr="00C56D85">
        <w:rPr>
          <w:lang w:eastAsia="zh-CN"/>
        </w:rPr>
        <w:t xml:space="preserve">. </w:t>
      </w:r>
    </w:p>
    <w:p w:rsidR="00C56D85" w:rsidRPr="00C56D85" w:rsidRDefault="00C56D85" w:rsidP="003D4A9C">
      <w:pPr>
        <w:rPr>
          <w:b/>
          <w:lang w:eastAsia="zh-CN"/>
        </w:rPr>
      </w:pPr>
      <w:r w:rsidRPr="00C56D85">
        <w:rPr>
          <w:b/>
          <w:lang w:eastAsia="zh-CN"/>
        </w:rPr>
        <w:lastRenderedPageBreak/>
        <w:t>Observation 1:</w:t>
      </w:r>
      <w:r w:rsidRPr="00C56D85">
        <w:rPr>
          <w:lang w:eastAsia="zh-CN"/>
        </w:rPr>
        <w:t xml:space="preserve"> equation-based representation</w:t>
      </w:r>
      <w:r w:rsidR="00ED546C">
        <w:rPr>
          <w:lang w:eastAsia="zh-CN"/>
        </w:rPr>
        <w:t xml:space="preserve"> can be applied for </w:t>
      </w:r>
      <w:r w:rsidR="00ED546C" w:rsidRPr="00ED546C">
        <w:rPr>
          <w:lang w:eastAsia="zh-CN"/>
        </w:rPr>
        <w:t>REFSENS</w:t>
      </w: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DB7DF8" w:rsidRDefault="00523B83" w:rsidP="00DB7DF8">
      <w:pPr>
        <w:rPr>
          <w:lang w:eastAsia="zh-CN"/>
        </w:rPr>
      </w:pPr>
      <w:r>
        <w:rPr>
          <w:rFonts w:hint="eastAsia"/>
          <w:lang w:eastAsia="zh-CN"/>
        </w:rPr>
        <w:t>I</w:t>
      </w:r>
      <w:r>
        <w:rPr>
          <w:lang w:eastAsia="zh-CN"/>
        </w:rPr>
        <w:t>n the contri</w:t>
      </w:r>
      <w:r w:rsidR="00ED546C">
        <w:rPr>
          <w:lang w:eastAsia="zh-CN"/>
        </w:rPr>
        <w:t xml:space="preserve">bution, we provide discussion </w:t>
      </w:r>
      <w:r w:rsidR="00ED546C" w:rsidRPr="00ED546C">
        <w:rPr>
          <w:lang w:eastAsia="zh-CN"/>
        </w:rPr>
        <w:t>on REFSENS Table Split and Simplification</w:t>
      </w:r>
      <w:r w:rsidR="00ED546C">
        <w:rPr>
          <w:lang w:eastAsia="zh-CN"/>
        </w:rPr>
        <w:t>.</w:t>
      </w:r>
    </w:p>
    <w:p w:rsidR="00ED546C" w:rsidRPr="00E54FE2" w:rsidRDefault="00ED546C" w:rsidP="00ED546C">
      <w:pPr>
        <w:rPr>
          <w:b/>
          <w:lang w:eastAsia="zh-CN"/>
        </w:rPr>
      </w:pPr>
      <w:r w:rsidRPr="00E54FE2">
        <w:rPr>
          <w:b/>
          <w:lang w:eastAsia="zh-CN"/>
        </w:rPr>
        <w:t>Proposal 1:</w:t>
      </w:r>
      <w:r>
        <w:rPr>
          <w:b/>
          <w:lang w:eastAsia="zh-CN"/>
        </w:rPr>
        <w:t xml:space="preserve"> </w:t>
      </w:r>
      <w:r w:rsidRPr="00C56D85">
        <w:rPr>
          <w:lang w:eastAsia="zh-CN"/>
        </w:rPr>
        <w:t>One table for TDD bands and the other table for FDD and SDL bands</w:t>
      </w:r>
    </w:p>
    <w:p w:rsidR="00ED546C" w:rsidRPr="00C56D85" w:rsidRDefault="00ED546C" w:rsidP="00ED546C">
      <w:pPr>
        <w:rPr>
          <w:b/>
          <w:lang w:eastAsia="zh-CN"/>
        </w:rPr>
      </w:pPr>
      <w:r w:rsidRPr="00C56D85">
        <w:rPr>
          <w:b/>
          <w:lang w:eastAsia="zh-CN"/>
        </w:rPr>
        <w:t>Observation 1:</w:t>
      </w:r>
      <w:r w:rsidRPr="00C56D85">
        <w:rPr>
          <w:lang w:eastAsia="zh-CN"/>
        </w:rPr>
        <w:t xml:space="preserve"> equation-based representation</w:t>
      </w:r>
      <w:r>
        <w:rPr>
          <w:lang w:eastAsia="zh-CN"/>
        </w:rPr>
        <w:t xml:space="preserve"> can be applied for </w:t>
      </w:r>
      <w:r w:rsidRPr="00ED546C">
        <w:rPr>
          <w:lang w:eastAsia="zh-CN"/>
        </w:rPr>
        <w:t>REFSENS</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A31FD" w:rsidRPr="009A31FD" w:rsidRDefault="009A31FD" w:rsidP="009A31FD">
      <w:pPr>
        <w:pStyle w:val="References"/>
        <w:rPr>
          <w:lang w:eastAsia="zh-CN"/>
        </w:rPr>
      </w:pPr>
      <w:r w:rsidRPr="009A31FD">
        <w:rPr>
          <w:lang w:eastAsia="zh-CN"/>
        </w:rPr>
        <w:t>R4-2107820</w:t>
      </w:r>
      <w:r w:rsidR="0025622A">
        <w:rPr>
          <w:rFonts w:hint="eastAsia"/>
          <w:lang w:eastAsia="zh-CN"/>
        </w:rPr>
        <w:t>,</w:t>
      </w:r>
      <w:r w:rsidR="0025622A">
        <w:rPr>
          <w:lang w:eastAsia="zh-CN"/>
        </w:rPr>
        <w:t xml:space="preserve"> </w:t>
      </w:r>
      <w:r w:rsidRPr="009A31FD">
        <w:rPr>
          <w:lang w:eastAsia="zh-CN"/>
        </w:rPr>
        <w:t>WF on REFSENS Table Split and Simplification</w:t>
      </w:r>
      <w:r w:rsidR="00023C30">
        <w:rPr>
          <w:lang w:eastAsia="zh-CN"/>
        </w:rPr>
        <w:t xml:space="preserve">, </w:t>
      </w:r>
      <w:r w:rsidR="00C00181" w:rsidRPr="00C00181">
        <w:rPr>
          <w:lang w:eastAsia="zh-CN"/>
        </w:rPr>
        <w:t xml:space="preserve"> </w:t>
      </w:r>
      <w:r w:rsidRPr="009A31FD">
        <w:rPr>
          <w:lang w:eastAsia="zh-CN"/>
        </w:rPr>
        <w:t>Apple, Skyworks Solutions Inc., ZTE</w:t>
      </w:r>
    </w:p>
    <w:p w:rsidR="00023C30" w:rsidRDefault="00E54FE2" w:rsidP="00ED546C">
      <w:pPr>
        <w:pStyle w:val="References"/>
      </w:pPr>
      <w:r w:rsidRPr="00E54FE2">
        <w:t>R4-2110160 “CR for TS 38.101-1: FR1 REFSENS table split a</w:t>
      </w:r>
      <w:r>
        <w:t xml:space="preserve">nd simplification”, Apple </w:t>
      </w:r>
      <w:bookmarkStart w:id="0" w:name="_GoBack"/>
      <w:bookmarkEnd w:id="0"/>
    </w:p>
    <w:sectPr w:rsidR="00023C3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82E" w:rsidRDefault="00AF382E">
      <w:r>
        <w:separator/>
      </w:r>
    </w:p>
  </w:endnote>
  <w:endnote w:type="continuationSeparator" w:id="0">
    <w:p w:rsidR="00AF382E" w:rsidRDefault="00AF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82E" w:rsidRDefault="00AF382E">
      <w:r>
        <w:separator/>
      </w:r>
    </w:p>
  </w:footnote>
  <w:footnote w:type="continuationSeparator" w:id="0">
    <w:p w:rsidR="00AF382E" w:rsidRDefault="00AF38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F749A"/>
    <w:multiLevelType w:val="hybridMultilevel"/>
    <w:tmpl w:val="FE603282"/>
    <w:lvl w:ilvl="0" w:tplc="22321BD8">
      <w:start w:val="1"/>
      <w:numFmt w:val="bullet"/>
      <w:lvlText w:val="•"/>
      <w:lvlJc w:val="left"/>
      <w:pPr>
        <w:tabs>
          <w:tab w:val="num" w:pos="720"/>
        </w:tabs>
        <w:ind w:left="720" w:hanging="360"/>
      </w:pPr>
      <w:rPr>
        <w:rFonts w:ascii="Arial" w:hAnsi="Arial" w:hint="default"/>
      </w:rPr>
    </w:lvl>
    <w:lvl w:ilvl="1" w:tplc="A13C030C">
      <w:start w:val="1"/>
      <w:numFmt w:val="bullet"/>
      <w:lvlText w:val="•"/>
      <w:lvlJc w:val="left"/>
      <w:pPr>
        <w:tabs>
          <w:tab w:val="num" w:pos="1440"/>
        </w:tabs>
        <w:ind w:left="1440" w:hanging="360"/>
      </w:pPr>
      <w:rPr>
        <w:rFonts w:ascii="Arial" w:hAnsi="Arial" w:hint="default"/>
      </w:rPr>
    </w:lvl>
    <w:lvl w:ilvl="2" w:tplc="2B665732">
      <w:numFmt w:val="bullet"/>
      <w:lvlText w:val="•"/>
      <w:lvlJc w:val="left"/>
      <w:pPr>
        <w:tabs>
          <w:tab w:val="num" w:pos="2160"/>
        </w:tabs>
        <w:ind w:left="2160" w:hanging="360"/>
      </w:pPr>
      <w:rPr>
        <w:rFonts w:ascii="Arial" w:hAnsi="Arial" w:hint="default"/>
      </w:rPr>
    </w:lvl>
    <w:lvl w:ilvl="3" w:tplc="97B8D6A8" w:tentative="1">
      <w:start w:val="1"/>
      <w:numFmt w:val="bullet"/>
      <w:lvlText w:val="•"/>
      <w:lvlJc w:val="left"/>
      <w:pPr>
        <w:tabs>
          <w:tab w:val="num" w:pos="2880"/>
        </w:tabs>
        <w:ind w:left="2880" w:hanging="360"/>
      </w:pPr>
      <w:rPr>
        <w:rFonts w:ascii="Arial" w:hAnsi="Arial" w:hint="default"/>
      </w:rPr>
    </w:lvl>
    <w:lvl w:ilvl="4" w:tplc="79A8AE4C" w:tentative="1">
      <w:start w:val="1"/>
      <w:numFmt w:val="bullet"/>
      <w:lvlText w:val="•"/>
      <w:lvlJc w:val="left"/>
      <w:pPr>
        <w:tabs>
          <w:tab w:val="num" w:pos="3600"/>
        </w:tabs>
        <w:ind w:left="3600" w:hanging="360"/>
      </w:pPr>
      <w:rPr>
        <w:rFonts w:ascii="Arial" w:hAnsi="Arial" w:hint="default"/>
      </w:rPr>
    </w:lvl>
    <w:lvl w:ilvl="5" w:tplc="0CD242D6" w:tentative="1">
      <w:start w:val="1"/>
      <w:numFmt w:val="bullet"/>
      <w:lvlText w:val="•"/>
      <w:lvlJc w:val="left"/>
      <w:pPr>
        <w:tabs>
          <w:tab w:val="num" w:pos="4320"/>
        </w:tabs>
        <w:ind w:left="4320" w:hanging="360"/>
      </w:pPr>
      <w:rPr>
        <w:rFonts w:ascii="Arial" w:hAnsi="Arial" w:hint="default"/>
      </w:rPr>
    </w:lvl>
    <w:lvl w:ilvl="6" w:tplc="7A0CB6D4" w:tentative="1">
      <w:start w:val="1"/>
      <w:numFmt w:val="bullet"/>
      <w:lvlText w:val="•"/>
      <w:lvlJc w:val="left"/>
      <w:pPr>
        <w:tabs>
          <w:tab w:val="num" w:pos="5040"/>
        </w:tabs>
        <w:ind w:left="5040" w:hanging="360"/>
      </w:pPr>
      <w:rPr>
        <w:rFonts w:ascii="Arial" w:hAnsi="Arial" w:hint="default"/>
      </w:rPr>
    </w:lvl>
    <w:lvl w:ilvl="7" w:tplc="897A9622" w:tentative="1">
      <w:start w:val="1"/>
      <w:numFmt w:val="bullet"/>
      <w:lvlText w:val="•"/>
      <w:lvlJc w:val="left"/>
      <w:pPr>
        <w:tabs>
          <w:tab w:val="num" w:pos="5760"/>
        </w:tabs>
        <w:ind w:left="5760" w:hanging="360"/>
      </w:pPr>
      <w:rPr>
        <w:rFonts w:ascii="Arial" w:hAnsi="Arial" w:hint="default"/>
      </w:rPr>
    </w:lvl>
    <w:lvl w:ilvl="8" w:tplc="21CE2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260C16"/>
    <w:multiLevelType w:val="hybridMultilevel"/>
    <w:tmpl w:val="B378972C"/>
    <w:lvl w:ilvl="0" w:tplc="DD4E83F4">
      <w:start w:val="1"/>
      <w:numFmt w:val="bullet"/>
      <w:lvlText w:val="•"/>
      <w:lvlJc w:val="left"/>
      <w:pPr>
        <w:tabs>
          <w:tab w:val="num" w:pos="720"/>
        </w:tabs>
        <w:ind w:left="720" w:hanging="360"/>
      </w:pPr>
      <w:rPr>
        <w:rFonts w:ascii="Arial" w:hAnsi="Arial" w:hint="default"/>
      </w:rPr>
    </w:lvl>
    <w:lvl w:ilvl="1" w:tplc="C9D21274">
      <w:start w:val="1"/>
      <w:numFmt w:val="bullet"/>
      <w:lvlText w:val="•"/>
      <w:lvlJc w:val="left"/>
      <w:pPr>
        <w:tabs>
          <w:tab w:val="num" w:pos="1440"/>
        </w:tabs>
        <w:ind w:left="1440" w:hanging="360"/>
      </w:pPr>
      <w:rPr>
        <w:rFonts w:ascii="Arial" w:hAnsi="Arial" w:hint="default"/>
      </w:rPr>
    </w:lvl>
    <w:lvl w:ilvl="2" w:tplc="7330555A" w:tentative="1">
      <w:start w:val="1"/>
      <w:numFmt w:val="bullet"/>
      <w:lvlText w:val="•"/>
      <w:lvlJc w:val="left"/>
      <w:pPr>
        <w:tabs>
          <w:tab w:val="num" w:pos="2160"/>
        </w:tabs>
        <w:ind w:left="2160" w:hanging="360"/>
      </w:pPr>
      <w:rPr>
        <w:rFonts w:ascii="Arial" w:hAnsi="Arial" w:hint="default"/>
      </w:rPr>
    </w:lvl>
    <w:lvl w:ilvl="3" w:tplc="B67C595C" w:tentative="1">
      <w:start w:val="1"/>
      <w:numFmt w:val="bullet"/>
      <w:lvlText w:val="•"/>
      <w:lvlJc w:val="left"/>
      <w:pPr>
        <w:tabs>
          <w:tab w:val="num" w:pos="2880"/>
        </w:tabs>
        <w:ind w:left="2880" w:hanging="360"/>
      </w:pPr>
      <w:rPr>
        <w:rFonts w:ascii="Arial" w:hAnsi="Arial" w:hint="default"/>
      </w:rPr>
    </w:lvl>
    <w:lvl w:ilvl="4" w:tplc="AE3A7D00" w:tentative="1">
      <w:start w:val="1"/>
      <w:numFmt w:val="bullet"/>
      <w:lvlText w:val="•"/>
      <w:lvlJc w:val="left"/>
      <w:pPr>
        <w:tabs>
          <w:tab w:val="num" w:pos="3600"/>
        </w:tabs>
        <w:ind w:left="3600" w:hanging="360"/>
      </w:pPr>
      <w:rPr>
        <w:rFonts w:ascii="Arial" w:hAnsi="Arial" w:hint="default"/>
      </w:rPr>
    </w:lvl>
    <w:lvl w:ilvl="5" w:tplc="DEB088AA" w:tentative="1">
      <w:start w:val="1"/>
      <w:numFmt w:val="bullet"/>
      <w:lvlText w:val="•"/>
      <w:lvlJc w:val="left"/>
      <w:pPr>
        <w:tabs>
          <w:tab w:val="num" w:pos="4320"/>
        </w:tabs>
        <w:ind w:left="4320" w:hanging="360"/>
      </w:pPr>
      <w:rPr>
        <w:rFonts w:ascii="Arial" w:hAnsi="Arial" w:hint="default"/>
      </w:rPr>
    </w:lvl>
    <w:lvl w:ilvl="6" w:tplc="6596A8C4" w:tentative="1">
      <w:start w:val="1"/>
      <w:numFmt w:val="bullet"/>
      <w:lvlText w:val="•"/>
      <w:lvlJc w:val="left"/>
      <w:pPr>
        <w:tabs>
          <w:tab w:val="num" w:pos="5040"/>
        </w:tabs>
        <w:ind w:left="5040" w:hanging="360"/>
      </w:pPr>
      <w:rPr>
        <w:rFonts w:ascii="Arial" w:hAnsi="Arial" w:hint="default"/>
      </w:rPr>
    </w:lvl>
    <w:lvl w:ilvl="7" w:tplc="16DAED94" w:tentative="1">
      <w:start w:val="1"/>
      <w:numFmt w:val="bullet"/>
      <w:lvlText w:val="•"/>
      <w:lvlJc w:val="left"/>
      <w:pPr>
        <w:tabs>
          <w:tab w:val="num" w:pos="5760"/>
        </w:tabs>
        <w:ind w:left="5760" w:hanging="360"/>
      </w:pPr>
      <w:rPr>
        <w:rFonts w:ascii="Arial" w:hAnsi="Arial" w:hint="default"/>
      </w:rPr>
    </w:lvl>
    <w:lvl w:ilvl="8" w:tplc="F06C1D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CA6C6E"/>
    <w:multiLevelType w:val="hybridMultilevel"/>
    <w:tmpl w:val="F7DA16C4"/>
    <w:lvl w:ilvl="0" w:tplc="B2A4A9CE">
      <w:start w:val="1"/>
      <w:numFmt w:val="bullet"/>
      <w:lvlText w:val="•"/>
      <w:lvlJc w:val="left"/>
      <w:pPr>
        <w:tabs>
          <w:tab w:val="num" w:pos="720"/>
        </w:tabs>
        <w:ind w:left="720" w:hanging="360"/>
      </w:pPr>
      <w:rPr>
        <w:rFonts w:ascii="Arial" w:hAnsi="Arial" w:hint="default"/>
      </w:rPr>
    </w:lvl>
    <w:lvl w:ilvl="1" w:tplc="E77C08D8">
      <w:numFmt w:val="bullet"/>
      <w:lvlText w:val="•"/>
      <w:lvlJc w:val="left"/>
      <w:pPr>
        <w:tabs>
          <w:tab w:val="num" w:pos="1440"/>
        </w:tabs>
        <w:ind w:left="1440" w:hanging="360"/>
      </w:pPr>
      <w:rPr>
        <w:rFonts w:ascii="Arial" w:hAnsi="Arial" w:hint="default"/>
      </w:rPr>
    </w:lvl>
    <w:lvl w:ilvl="2" w:tplc="AA4E0C0E" w:tentative="1">
      <w:start w:val="1"/>
      <w:numFmt w:val="bullet"/>
      <w:lvlText w:val="•"/>
      <w:lvlJc w:val="left"/>
      <w:pPr>
        <w:tabs>
          <w:tab w:val="num" w:pos="2160"/>
        </w:tabs>
        <w:ind w:left="2160" w:hanging="360"/>
      </w:pPr>
      <w:rPr>
        <w:rFonts w:ascii="Arial" w:hAnsi="Arial" w:hint="default"/>
      </w:rPr>
    </w:lvl>
    <w:lvl w:ilvl="3" w:tplc="EFDE9C80" w:tentative="1">
      <w:start w:val="1"/>
      <w:numFmt w:val="bullet"/>
      <w:lvlText w:val="•"/>
      <w:lvlJc w:val="left"/>
      <w:pPr>
        <w:tabs>
          <w:tab w:val="num" w:pos="2880"/>
        </w:tabs>
        <w:ind w:left="2880" w:hanging="360"/>
      </w:pPr>
      <w:rPr>
        <w:rFonts w:ascii="Arial" w:hAnsi="Arial" w:hint="default"/>
      </w:rPr>
    </w:lvl>
    <w:lvl w:ilvl="4" w:tplc="53125944" w:tentative="1">
      <w:start w:val="1"/>
      <w:numFmt w:val="bullet"/>
      <w:lvlText w:val="•"/>
      <w:lvlJc w:val="left"/>
      <w:pPr>
        <w:tabs>
          <w:tab w:val="num" w:pos="3600"/>
        </w:tabs>
        <w:ind w:left="3600" w:hanging="360"/>
      </w:pPr>
      <w:rPr>
        <w:rFonts w:ascii="Arial" w:hAnsi="Arial" w:hint="default"/>
      </w:rPr>
    </w:lvl>
    <w:lvl w:ilvl="5" w:tplc="16FACA24" w:tentative="1">
      <w:start w:val="1"/>
      <w:numFmt w:val="bullet"/>
      <w:lvlText w:val="•"/>
      <w:lvlJc w:val="left"/>
      <w:pPr>
        <w:tabs>
          <w:tab w:val="num" w:pos="4320"/>
        </w:tabs>
        <w:ind w:left="4320" w:hanging="360"/>
      </w:pPr>
      <w:rPr>
        <w:rFonts w:ascii="Arial" w:hAnsi="Arial" w:hint="default"/>
      </w:rPr>
    </w:lvl>
    <w:lvl w:ilvl="6" w:tplc="608AF80A" w:tentative="1">
      <w:start w:val="1"/>
      <w:numFmt w:val="bullet"/>
      <w:lvlText w:val="•"/>
      <w:lvlJc w:val="left"/>
      <w:pPr>
        <w:tabs>
          <w:tab w:val="num" w:pos="5040"/>
        </w:tabs>
        <w:ind w:left="5040" w:hanging="360"/>
      </w:pPr>
      <w:rPr>
        <w:rFonts w:ascii="Arial" w:hAnsi="Arial" w:hint="default"/>
      </w:rPr>
    </w:lvl>
    <w:lvl w:ilvl="7" w:tplc="5324F4F2" w:tentative="1">
      <w:start w:val="1"/>
      <w:numFmt w:val="bullet"/>
      <w:lvlText w:val="•"/>
      <w:lvlJc w:val="left"/>
      <w:pPr>
        <w:tabs>
          <w:tab w:val="num" w:pos="5760"/>
        </w:tabs>
        <w:ind w:left="5760" w:hanging="360"/>
      </w:pPr>
      <w:rPr>
        <w:rFonts w:ascii="Arial" w:hAnsi="Arial" w:hint="default"/>
      </w:rPr>
    </w:lvl>
    <w:lvl w:ilvl="8" w:tplc="9AAE8B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9"/>
  </w:num>
  <w:num w:numId="5">
    <w:abstractNumId w:val="11"/>
  </w:num>
  <w:num w:numId="6">
    <w:abstractNumId w:val="3"/>
  </w:num>
  <w:num w:numId="7">
    <w:abstractNumId w:val="10"/>
  </w:num>
  <w:num w:numId="8">
    <w:abstractNumId w:val="8"/>
  </w:num>
  <w:num w:numId="9">
    <w:abstractNumId w:val="0"/>
  </w:num>
  <w:num w:numId="10">
    <w:abstractNumId w:val="1"/>
  </w:num>
  <w:num w:numId="11">
    <w:abstractNumId w:val="2"/>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342A"/>
    <w:rsid w:val="0001538E"/>
    <w:rsid w:val="00015EFB"/>
    <w:rsid w:val="000165E2"/>
    <w:rsid w:val="00016FEA"/>
    <w:rsid w:val="000172BE"/>
    <w:rsid w:val="00017D8A"/>
    <w:rsid w:val="00023388"/>
    <w:rsid w:val="00023425"/>
    <w:rsid w:val="000238CC"/>
    <w:rsid w:val="00023C30"/>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1F8"/>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5EB"/>
    <w:rsid w:val="00204BAD"/>
    <w:rsid w:val="00204D60"/>
    <w:rsid w:val="00204E5C"/>
    <w:rsid w:val="00205627"/>
    <w:rsid w:val="002056D0"/>
    <w:rsid w:val="00206BF6"/>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043"/>
    <w:rsid w:val="00230FF5"/>
    <w:rsid w:val="00231C25"/>
    <w:rsid w:val="00231C6F"/>
    <w:rsid w:val="00232A90"/>
    <w:rsid w:val="0023348C"/>
    <w:rsid w:val="00233B9E"/>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6AD1"/>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04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2C60"/>
    <w:rsid w:val="00323D6B"/>
    <w:rsid w:val="00326938"/>
    <w:rsid w:val="00326957"/>
    <w:rsid w:val="00326AE2"/>
    <w:rsid w:val="00331351"/>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3CC6"/>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0B35"/>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593E"/>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077D"/>
    <w:rsid w:val="004C1840"/>
    <w:rsid w:val="004C24C9"/>
    <w:rsid w:val="004C2CBB"/>
    <w:rsid w:val="004C31B6"/>
    <w:rsid w:val="004C5319"/>
    <w:rsid w:val="004C621F"/>
    <w:rsid w:val="004C6C97"/>
    <w:rsid w:val="004C7948"/>
    <w:rsid w:val="004C7BB8"/>
    <w:rsid w:val="004C7C60"/>
    <w:rsid w:val="004D0DFE"/>
    <w:rsid w:val="004D1D91"/>
    <w:rsid w:val="004D22C3"/>
    <w:rsid w:val="004D5456"/>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6F33"/>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56EE"/>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50F"/>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C4C"/>
    <w:rsid w:val="0062660B"/>
    <w:rsid w:val="00626AD1"/>
    <w:rsid w:val="006301E5"/>
    <w:rsid w:val="006304BC"/>
    <w:rsid w:val="00630DCE"/>
    <w:rsid w:val="0063120A"/>
    <w:rsid w:val="0063150B"/>
    <w:rsid w:val="00631585"/>
    <w:rsid w:val="00633732"/>
    <w:rsid w:val="00634ACF"/>
    <w:rsid w:val="00635035"/>
    <w:rsid w:val="0063580D"/>
    <w:rsid w:val="00635CAE"/>
    <w:rsid w:val="00635F51"/>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3BF"/>
    <w:rsid w:val="006A3E2B"/>
    <w:rsid w:val="006A4575"/>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437F"/>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599"/>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304E"/>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3C7"/>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049"/>
    <w:rsid w:val="00844196"/>
    <w:rsid w:val="00844442"/>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725"/>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167"/>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177B5"/>
    <w:rsid w:val="009204C5"/>
    <w:rsid w:val="0092097E"/>
    <w:rsid w:val="0092180D"/>
    <w:rsid w:val="009232C9"/>
    <w:rsid w:val="00923608"/>
    <w:rsid w:val="009238E5"/>
    <w:rsid w:val="00923F12"/>
    <w:rsid w:val="00924FAF"/>
    <w:rsid w:val="00924FF8"/>
    <w:rsid w:val="00925BA8"/>
    <w:rsid w:val="00926DA7"/>
    <w:rsid w:val="00927F8B"/>
    <w:rsid w:val="00930062"/>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1FD"/>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47A"/>
    <w:rsid w:val="00A07A48"/>
    <w:rsid w:val="00A108EE"/>
    <w:rsid w:val="00A10BB8"/>
    <w:rsid w:val="00A1200D"/>
    <w:rsid w:val="00A12AE4"/>
    <w:rsid w:val="00A137E4"/>
    <w:rsid w:val="00A14813"/>
    <w:rsid w:val="00A1566A"/>
    <w:rsid w:val="00A15CF2"/>
    <w:rsid w:val="00A165BF"/>
    <w:rsid w:val="00A166F0"/>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1E1C"/>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616"/>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1F94"/>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8A"/>
    <w:rsid w:val="00AE5EF6"/>
    <w:rsid w:val="00AE67B3"/>
    <w:rsid w:val="00AE7864"/>
    <w:rsid w:val="00AE7949"/>
    <w:rsid w:val="00AF14F5"/>
    <w:rsid w:val="00AF25D5"/>
    <w:rsid w:val="00AF382E"/>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29F4"/>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B71B4"/>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A6C"/>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6D85"/>
    <w:rsid w:val="00C570F7"/>
    <w:rsid w:val="00C57502"/>
    <w:rsid w:val="00C5793A"/>
    <w:rsid w:val="00C6116A"/>
    <w:rsid w:val="00C6167E"/>
    <w:rsid w:val="00C623E6"/>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C0F"/>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26FE"/>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6694"/>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B7DF8"/>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452"/>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4FE2"/>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66FA"/>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46C"/>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583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786"/>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0505510">
      <w:bodyDiv w:val="1"/>
      <w:marLeft w:val="0"/>
      <w:marRight w:val="0"/>
      <w:marTop w:val="0"/>
      <w:marBottom w:val="0"/>
      <w:divBdr>
        <w:top w:val="none" w:sz="0" w:space="0" w:color="auto"/>
        <w:left w:val="none" w:sz="0" w:space="0" w:color="auto"/>
        <w:bottom w:val="none" w:sz="0" w:space="0" w:color="auto"/>
        <w:right w:val="none" w:sz="0" w:space="0" w:color="auto"/>
      </w:divBdr>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39521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49343457">
      <w:bodyDiv w:val="1"/>
      <w:marLeft w:val="0"/>
      <w:marRight w:val="0"/>
      <w:marTop w:val="0"/>
      <w:marBottom w:val="0"/>
      <w:divBdr>
        <w:top w:val="none" w:sz="0" w:space="0" w:color="auto"/>
        <w:left w:val="none" w:sz="0" w:space="0" w:color="auto"/>
        <w:bottom w:val="none" w:sz="0" w:space="0" w:color="auto"/>
        <w:right w:val="none" w:sz="0" w:space="0" w:color="auto"/>
      </w:divBdr>
      <w:divsChild>
        <w:div w:id="1382631309">
          <w:marLeft w:val="1080"/>
          <w:marRight w:val="0"/>
          <w:marTop w:val="100"/>
          <w:marBottom w:val="0"/>
          <w:divBdr>
            <w:top w:val="none" w:sz="0" w:space="0" w:color="auto"/>
            <w:left w:val="none" w:sz="0" w:space="0" w:color="auto"/>
            <w:bottom w:val="none" w:sz="0" w:space="0" w:color="auto"/>
            <w:right w:val="none" w:sz="0" w:space="0" w:color="auto"/>
          </w:divBdr>
        </w:div>
        <w:div w:id="1608928684">
          <w:marLeft w:val="1800"/>
          <w:marRight w:val="0"/>
          <w:marTop w:val="100"/>
          <w:marBottom w:val="0"/>
          <w:divBdr>
            <w:top w:val="none" w:sz="0" w:space="0" w:color="auto"/>
            <w:left w:val="none" w:sz="0" w:space="0" w:color="auto"/>
            <w:bottom w:val="none" w:sz="0" w:space="0" w:color="auto"/>
            <w:right w:val="none" w:sz="0" w:space="0" w:color="auto"/>
          </w:divBdr>
        </w:div>
        <w:div w:id="485242644">
          <w:marLeft w:val="1800"/>
          <w:marRight w:val="0"/>
          <w:marTop w:val="100"/>
          <w:marBottom w:val="0"/>
          <w:divBdr>
            <w:top w:val="none" w:sz="0" w:space="0" w:color="auto"/>
            <w:left w:val="none" w:sz="0" w:space="0" w:color="auto"/>
            <w:bottom w:val="none" w:sz="0" w:space="0" w:color="auto"/>
            <w:right w:val="none" w:sz="0" w:space="0" w:color="auto"/>
          </w:divBdr>
        </w:div>
        <w:div w:id="1909421461">
          <w:marLeft w:val="1800"/>
          <w:marRight w:val="0"/>
          <w:marTop w:val="100"/>
          <w:marBottom w:val="0"/>
          <w:divBdr>
            <w:top w:val="none" w:sz="0" w:space="0" w:color="auto"/>
            <w:left w:val="none" w:sz="0" w:space="0" w:color="auto"/>
            <w:bottom w:val="none" w:sz="0" w:space="0" w:color="auto"/>
            <w:right w:val="none" w:sz="0" w:space="0" w:color="auto"/>
          </w:divBdr>
        </w:div>
        <w:div w:id="255015273">
          <w:marLeft w:val="1800"/>
          <w:marRight w:val="0"/>
          <w:marTop w:val="100"/>
          <w:marBottom w:val="0"/>
          <w:divBdr>
            <w:top w:val="none" w:sz="0" w:space="0" w:color="auto"/>
            <w:left w:val="none" w:sz="0" w:space="0" w:color="auto"/>
            <w:bottom w:val="none" w:sz="0" w:space="0" w:color="auto"/>
            <w:right w:val="none" w:sz="0" w:space="0" w:color="auto"/>
          </w:divBdr>
        </w:div>
        <w:div w:id="1539388754">
          <w:marLeft w:val="1080"/>
          <w:marRight w:val="0"/>
          <w:marTop w:val="100"/>
          <w:marBottom w:val="0"/>
          <w:divBdr>
            <w:top w:val="none" w:sz="0" w:space="0" w:color="auto"/>
            <w:left w:val="none" w:sz="0" w:space="0" w:color="auto"/>
            <w:bottom w:val="none" w:sz="0" w:space="0" w:color="auto"/>
            <w:right w:val="none" w:sz="0" w:space="0" w:color="auto"/>
          </w:divBdr>
        </w:div>
        <w:div w:id="1051880924">
          <w:marLeft w:val="1800"/>
          <w:marRight w:val="0"/>
          <w:marTop w:val="100"/>
          <w:marBottom w:val="0"/>
          <w:divBdr>
            <w:top w:val="none" w:sz="0" w:space="0" w:color="auto"/>
            <w:left w:val="none" w:sz="0" w:space="0" w:color="auto"/>
            <w:bottom w:val="none" w:sz="0" w:space="0" w:color="auto"/>
            <w:right w:val="none" w:sz="0" w:space="0" w:color="auto"/>
          </w:divBdr>
        </w:div>
        <w:div w:id="164172622">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0304">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43642820">
      <w:bodyDiv w:val="1"/>
      <w:marLeft w:val="0"/>
      <w:marRight w:val="0"/>
      <w:marTop w:val="0"/>
      <w:marBottom w:val="0"/>
      <w:divBdr>
        <w:top w:val="none" w:sz="0" w:space="0" w:color="auto"/>
        <w:left w:val="none" w:sz="0" w:space="0" w:color="auto"/>
        <w:bottom w:val="none" w:sz="0" w:space="0" w:color="auto"/>
        <w:right w:val="none" w:sz="0" w:space="0" w:color="auto"/>
      </w:divBdr>
      <w:divsChild>
        <w:div w:id="588319035">
          <w:marLeft w:val="360"/>
          <w:marRight w:val="0"/>
          <w:marTop w:val="200"/>
          <w:marBottom w:val="0"/>
          <w:divBdr>
            <w:top w:val="none" w:sz="0" w:space="0" w:color="auto"/>
            <w:left w:val="none" w:sz="0" w:space="0" w:color="auto"/>
            <w:bottom w:val="none" w:sz="0" w:space="0" w:color="auto"/>
            <w:right w:val="none" w:sz="0" w:space="0" w:color="auto"/>
          </w:divBdr>
        </w:div>
        <w:div w:id="1444419713">
          <w:marLeft w:val="360"/>
          <w:marRight w:val="0"/>
          <w:marTop w:val="200"/>
          <w:marBottom w:val="0"/>
          <w:divBdr>
            <w:top w:val="none" w:sz="0" w:space="0" w:color="auto"/>
            <w:left w:val="none" w:sz="0" w:space="0" w:color="auto"/>
            <w:bottom w:val="none" w:sz="0" w:space="0" w:color="auto"/>
            <w:right w:val="none" w:sz="0" w:space="0" w:color="auto"/>
          </w:divBdr>
        </w:div>
        <w:div w:id="1775516441">
          <w:marLeft w:val="1080"/>
          <w:marRight w:val="0"/>
          <w:marTop w:val="100"/>
          <w:marBottom w:val="0"/>
          <w:divBdr>
            <w:top w:val="none" w:sz="0" w:space="0" w:color="auto"/>
            <w:left w:val="none" w:sz="0" w:space="0" w:color="auto"/>
            <w:bottom w:val="none" w:sz="0" w:space="0" w:color="auto"/>
            <w:right w:val="none" w:sz="0" w:space="0" w:color="auto"/>
          </w:divBdr>
        </w:div>
        <w:div w:id="365259341">
          <w:marLeft w:val="1080"/>
          <w:marRight w:val="0"/>
          <w:marTop w:val="100"/>
          <w:marBottom w:val="0"/>
          <w:divBdr>
            <w:top w:val="none" w:sz="0" w:space="0" w:color="auto"/>
            <w:left w:val="none" w:sz="0" w:space="0" w:color="auto"/>
            <w:bottom w:val="none" w:sz="0" w:space="0" w:color="auto"/>
            <w:right w:val="none" w:sz="0" w:space="0" w:color="auto"/>
          </w:divBdr>
        </w:div>
        <w:div w:id="1945528098">
          <w:marLeft w:val="1080"/>
          <w:marRight w:val="0"/>
          <w:marTop w:val="100"/>
          <w:marBottom w:val="0"/>
          <w:divBdr>
            <w:top w:val="none" w:sz="0" w:space="0" w:color="auto"/>
            <w:left w:val="none" w:sz="0" w:space="0" w:color="auto"/>
            <w:bottom w:val="none" w:sz="0" w:space="0" w:color="auto"/>
            <w:right w:val="none" w:sz="0" w:space="0" w:color="auto"/>
          </w:divBdr>
        </w:div>
        <w:div w:id="1084958643">
          <w:marLeft w:val="1080"/>
          <w:marRight w:val="0"/>
          <w:marTop w:val="100"/>
          <w:marBottom w:val="0"/>
          <w:divBdr>
            <w:top w:val="none" w:sz="0" w:space="0" w:color="auto"/>
            <w:left w:val="none" w:sz="0" w:space="0" w:color="auto"/>
            <w:bottom w:val="none" w:sz="0" w:space="0" w:color="auto"/>
            <w:right w:val="none" w:sz="0" w:space="0" w:color="auto"/>
          </w:divBdr>
        </w:div>
        <w:div w:id="1503006165">
          <w:marLeft w:val="360"/>
          <w:marRight w:val="0"/>
          <w:marTop w:val="200"/>
          <w:marBottom w:val="0"/>
          <w:divBdr>
            <w:top w:val="none" w:sz="0" w:space="0" w:color="auto"/>
            <w:left w:val="none" w:sz="0" w:space="0" w:color="auto"/>
            <w:bottom w:val="none" w:sz="0" w:space="0" w:color="auto"/>
            <w:right w:val="none" w:sz="0" w:space="0" w:color="auto"/>
          </w:divBdr>
        </w:div>
        <w:div w:id="1943758703">
          <w:marLeft w:val="1080"/>
          <w:marRight w:val="0"/>
          <w:marTop w:val="100"/>
          <w:marBottom w:val="0"/>
          <w:divBdr>
            <w:top w:val="none" w:sz="0" w:space="0" w:color="auto"/>
            <w:left w:val="none" w:sz="0" w:space="0" w:color="auto"/>
            <w:bottom w:val="none" w:sz="0" w:space="0" w:color="auto"/>
            <w:right w:val="none" w:sz="0" w:space="0" w:color="auto"/>
          </w:divBdr>
        </w:div>
      </w:divsChild>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2184716">
      <w:bodyDiv w:val="1"/>
      <w:marLeft w:val="0"/>
      <w:marRight w:val="0"/>
      <w:marTop w:val="0"/>
      <w:marBottom w:val="0"/>
      <w:divBdr>
        <w:top w:val="none" w:sz="0" w:space="0" w:color="auto"/>
        <w:left w:val="none" w:sz="0" w:space="0" w:color="auto"/>
        <w:bottom w:val="none" w:sz="0" w:space="0" w:color="auto"/>
        <w:right w:val="none" w:sz="0" w:space="0" w:color="auto"/>
      </w:divBdr>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84676957">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57365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01022879">
      <w:bodyDiv w:val="1"/>
      <w:marLeft w:val="0"/>
      <w:marRight w:val="0"/>
      <w:marTop w:val="0"/>
      <w:marBottom w:val="0"/>
      <w:divBdr>
        <w:top w:val="none" w:sz="0" w:space="0" w:color="auto"/>
        <w:left w:val="none" w:sz="0" w:space="0" w:color="auto"/>
        <w:bottom w:val="none" w:sz="0" w:space="0" w:color="auto"/>
        <w:right w:val="none" w:sz="0" w:space="0" w:color="auto"/>
      </w:divBdr>
      <w:divsChild>
        <w:div w:id="1463696012">
          <w:marLeft w:val="360"/>
          <w:marRight w:val="0"/>
          <w:marTop w:val="200"/>
          <w:marBottom w:val="0"/>
          <w:divBdr>
            <w:top w:val="none" w:sz="0" w:space="0" w:color="auto"/>
            <w:left w:val="none" w:sz="0" w:space="0" w:color="auto"/>
            <w:bottom w:val="none" w:sz="0" w:space="0" w:color="auto"/>
            <w:right w:val="none" w:sz="0" w:space="0" w:color="auto"/>
          </w:divBdr>
        </w:div>
        <w:div w:id="1730152386">
          <w:marLeft w:val="360"/>
          <w:marRight w:val="0"/>
          <w:marTop w:val="200"/>
          <w:marBottom w:val="0"/>
          <w:divBdr>
            <w:top w:val="none" w:sz="0" w:space="0" w:color="auto"/>
            <w:left w:val="none" w:sz="0" w:space="0" w:color="auto"/>
            <w:bottom w:val="none" w:sz="0" w:space="0" w:color="auto"/>
            <w:right w:val="none" w:sz="0" w:space="0" w:color="auto"/>
          </w:divBdr>
        </w:div>
        <w:div w:id="1640914700">
          <w:marLeft w:val="1080"/>
          <w:marRight w:val="0"/>
          <w:marTop w:val="100"/>
          <w:marBottom w:val="0"/>
          <w:divBdr>
            <w:top w:val="none" w:sz="0" w:space="0" w:color="auto"/>
            <w:left w:val="none" w:sz="0" w:space="0" w:color="auto"/>
            <w:bottom w:val="none" w:sz="0" w:space="0" w:color="auto"/>
            <w:right w:val="none" w:sz="0" w:space="0" w:color="auto"/>
          </w:divBdr>
        </w:div>
        <w:div w:id="1973559383">
          <w:marLeft w:val="1080"/>
          <w:marRight w:val="0"/>
          <w:marTop w:val="100"/>
          <w:marBottom w:val="0"/>
          <w:divBdr>
            <w:top w:val="none" w:sz="0" w:space="0" w:color="auto"/>
            <w:left w:val="none" w:sz="0" w:space="0" w:color="auto"/>
            <w:bottom w:val="none" w:sz="0" w:space="0" w:color="auto"/>
            <w:right w:val="none" w:sz="0" w:space="0" w:color="auto"/>
          </w:divBdr>
        </w:div>
        <w:div w:id="862089278">
          <w:marLeft w:val="1080"/>
          <w:marRight w:val="0"/>
          <w:marTop w:val="100"/>
          <w:marBottom w:val="0"/>
          <w:divBdr>
            <w:top w:val="none" w:sz="0" w:space="0" w:color="auto"/>
            <w:left w:val="none" w:sz="0" w:space="0" w:color="auto"/>
            <w:bottom w:val="none" w:sz="0" w:space="0" w:color="auto"/>
            <w:right w:val="none" w:sz="0" w:space="0" w:color="auto"/>
          </w:divBdr>
        </w:div>
        <w:div w:id="1611548144">
          <w:marLeft w:val="1080"/>
          <w:marRight w:val="0"/>
          <w:marTop w:val="100"/>
          <w:marBottom w:val="0"/>
          <w:divBdr>
            <w:top w:val="none" w:sz="0" w:space="0" w:color="auto"/>
            <w:left w:val="none" w:sz="0" w:space="0" w:color="auto"/>
            <w:bottom w:val="none" w:sz="0" w:space="0" w:color="auto"/>
            <w:right w:val="none" w:sz="0" w:space="0" w:color="auto"/>
          </w:divBdr>
        </w:div>
        <w:div w:id="32117399">
          <w:marLeft w:val="360"/>
          <w:marRight w:val="0"/>
          <w:marTop w:val="200"/>
          <w:marBottom w:val="0"/>
          <w:divBdr>
            <w:top w:val="none" w:sz="0" w:space="0" w:color="auto"/>
            <w:left w:val="none" w:sz="0" w:space="0" w:color="auto"/>
            <w:bottom w:val="none" w:sz="0" w:space="0" w:color="auto"/>
            <w:right w:val="none" w:sz="0" w:space="0" w:color="auto"/>
          </w:divBdr>
        </w:div>
        <w:div w:id="678387627">
          <w:marLeft w:val="1080"/>
          <w:marRight w:val="0"/>
          <w:marTop w:val="100"/>
          <w:marBottom w:val="0"/>
          <w:divBdr>
            <w:top w:val="none" w:sz="0" w:space="0" w:color="auto"/>
            <w:left w:val="none" w:sz="0" w:space="0" w:color="auto"/>
            <w:bottom w:val="none" w:sz="0" w:space="0" w:color="auto"/>
            <w:right w:val="none" w:sz="0" w:space="0" w:color="auto"/>
          </w:divBdr>
        </w:div>
      </w:divsChild>
    </w:div>
    <w:div w:id="1152795670">
      <w:bodyDiv w:val="1"/>
      <w:marLeft w:val="0"/>
      <w:marRight w:val="0"/>
      <w:marTop w:val="0"/>
      <w:marBottom w:val="0"/>
      <w:divBdr>
        <w:top w:val="none" w:sz="0" w:space="0" w:color="auto"/>
        <w:left w:val="none" w:sz="0" w:space="0" w:color="auto"/>
        <w:bottom w:val="none" w:sz="0" w:space="0" w:color="auto"/>
        <w:right w:val="none" w:sz="0" w:space="0" w:color="auto"/>
      </w:divBdr>
    </w:div>
    <w:div w:id="116008042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378622521">
      <w:bodyDiv w:val="1"/>
      <w:marLeft w:val="0"/>
      <w:marRight w:val="0"/>
      <w:marTop w:val="0"/>
      <w:marBottom w:val="0"/>
      <w:divBdr>
        <w:top w:val="none" w:sz="0" w:space="0" w:color="auto"/>
        <w:left w:val="none" w:sz="0" w:space="0" w:color="auto"/>
        <w:bottom w:val="none" w:sz="0" w:space="0" w:color="auto"/>
        <w:right w:val="none" w:sz="0" w:space="0" w:color="auto"/>
      </w:divBdr>
      <w:divsChild>
        <w:div w:id="1770200321">
          <w:marLeft w:val="1080"/>
          <w:marRight w:val="0"/>
          <w:marTop w:val="100"/>
          <w:marBottom w:val="0"/>
          <w:divBdr>
            <w:top w:val="none" w:sz="0" w:space="0" w:color="auto"/>
            <w:left w:val="none" w:sz="0" w:space="0" w:color="auto"/>
            <w:bottom w:val="none" w:sz="0" w:space="0" w:color="auto"/>
            <w:right w:val="none" w:sz="0" w:space="0" w:color="auto"/>
          </w:divBdr>
        </w:div>
      </w:divsChild>
    </w:div>
    <w:div w:id="1393845384">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56411151">
      <w:bodyDiv w:val="1"/>
      <w:marLeft w:val="0"/>
      <w:marRight w:val="0"/>
      <w:marTop w:val="0"/>
      <w:marBottom w:val="0"/>
      <w:divBdr>
        <w:top w:val="none" w:sz="0" w:space="0" w:color="auto"/>
        <w:left w:val="none" w:sz="0" w:space="0" w:color="auto"/>
        <w:bottom w:val="none" w:sz="0" w:space="0" w:color="auto"/>
        <w:right w:val="none" w:sz="0" w:space="0" w:color="auto"/>
      </w:divBdr>
      <w:divsChild>
        <w:div w:id="1324504561">
          <w:marLeft w:val="360"/>
          <w:marRight w:val="0"/>
          <w:marTop w:val="200"/>
          <w:marBottom w:val="0"/>
          <w:divBdr>
            <w:top w:val="none" w:sz="0" w:space="0" w:color="auto"/>
            <w:left w:val="none" w:sz="0" w:space="0" w:color="auto"/>
            <w:bottom w:val="none" w:sz="0" w:space="0" w:color="auto"/>
            <w:right w:val="none" w:sz="0" w:space="0" w:color="auto"/>
          </w:divBdr>
        </w:div>
        <w:div w:id="1588997231">
          <w:marLeft w:val="1080"/>
          <w:marRight w:val="0"/>
          <w:marTop w:val="100"/>
          <w:marBottom w:val="0"/>
          <w:divBdr>
            <w:top w:val="none" w:sz="0" w:space="0" w:color="auto"/>
            <w:left w:val="none" w:sz="0" w:space="0" w:color="auto"/>
            <w:bottom w:val="none" w:sz="0" w:space="0" w:color="auto"/>
            <w:right w:val="none" w:sz="0" w:space="0" w:color="auto"/>
          </w:divBdr>
        </w:div>
        <w:div w:id="24212708">
          <w:marLeft w:val="1800"/>
          <w:marRight w:val="0"/>
          <w:marTop w:val="100"/>
          <w:marBottom w:val="0"/>
          <w:divBdr>
            <w:top w:val="none" w:sz="0" w:space="0" w:color="auto"/>
            <w:left w:val="none" w:sz="0" w:space="0" w:color="auto"/>
            <w:bottom w:val="none" w:sz="0" w:space="0" w:color="auto"/>
            <w:right w:val="none" w:sz="0" w:space="0" w:color="auto"/>
          </w:divBdr>
        </w:div>
        <w:div w:id="866530556">
          <w:marLeft w:val="1800"/>
          <w:marRight w:val="0"/>
          <w:marTop w:val="100"/>
          <w:marBottom w:val="0"/>
          <w:divBdr>
            <w:top w:val="none" w:sz="0" w:space="0" w:color="auto"/>
            <w:left w:val="none" w:sz="0" w:space="0" w:color="auto"/>
            <w:bottom w:val="none" w:sz="0" w:space="0" w:color="auto"/>
            <w:right w:val="none" w:sz="0" w:space="0" w:color="auto"/>
          </w:divBdr>
        </w:div>
        <w:div w:id="114956640">
          <w:marLeft w:val="1080"/>
          <w:marRight w:val="0"/>
          <w:marTop w:val="100"/>
          <w:marBottom w:val="0"/>
          <w:divBdr>
            <w:top w:val="none" w:sz="0" w:space="0" w:color="auto"/>
            <w:left w:val="none" w:sz="0" w:space="0" w:color="auto"/>
            <w:bottom w:val="none" w:sz="0" w:space="0" w:color="auto"/>
            <w:right w:val="none" w:sz="0" w:space="0" w:color="auto"/>
          </w:divBdr>
        </w:div>
        <w:div w:id="2144157673">
          <w:marLeft w:val="1800"/>
          <w:marRight w:val="0"/>
          <w:marTop w:val="100"/>
          <w:marBottom w:val="0"/>
          <w:divBdr>
            <w:top w:val="none" w:sz="0" w:space="0" w:color="auto"/>
            <w:left w:val="none" w:sz="0" w:space="0" w:color="auto"/>
            <w:bottom w:val="none" w:sz="0" w:space="0" w:color="auto"/>
            <w:right w:val="none" w:sz="0" w:space="0" w:color="auto"/>
          </w:divBdr>
        </w:div>
        <w:div w:id="2060280891">
          <w:marLeft w:val="1080"/>
          <w:marRight w:val="0"/>
          <w:marTop w:val="100"/>
          <w:marBottom w:val="0"/>
          <w:divBdr>
            <w:top w:val="none" w:sz="0" w:space="0" w:color="auto"/>
            <w:left w:val="none" w:sz="0" w:space="0" w:color="auto"/>
            <w:bottom w:val="none" w:sz="0" w:space="0" w:color="auto"/>
            <w:right w:val="none" w:sz="0" w:space="0" w:color="auto"/>
          </w:divBdr>
        </w:div>
      </w:divsChild>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87061">
      <w:bodyDiv w:val="1"/>
      <w:marLeft w:val="0"/>
      <w:marRight w:val="0"/>
      <w:marTop w:val="0"/>
      <w:marBottom w:val="0"/>
      <w:divBdr>
        <w:top w:val="none" w:sz="0" w:space="0" w:color="auto"/>
        <w:left w:val="none" w:sz="0" w:space="0" w:color="auto"/>
        <w:bottom w:val="none" w:sz="0" w:space="0" w:color="auto"/>
        <w:right w:val="none" w:sz="0" w:space="0" w:color="auto"/>
      </w:divBdr>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49C68-6583-4806-BAEE-D2BE9022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2021-07-08T02:54:00Z</dcterms:created>
  <dcterms:modified xsi:type="dcterms:W3CDTF">2021-08-06T08:49:00Z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(3)rXV7mpvf5e058oPN0ypCIVbvaGLFgFGSevRRyKq07uUnuP3La1q0TJl0w4ZC9xefpvb2b/Dq
oUWVp3xJu2dqENlpLEjXeqxj8jRECXJBmMom4DiHaLjN5sslwe85KVR9ORsQ1PDamFs1gkMZ
AMXUrBjl9k8Y+OhRgEn5jasc28edgS5/aL02C13J6aioPsXh/SQTC9bFofEjnHCDC0tRsxdz
eP7SmXSc6ZKzN2pgYw</vt:lpwstr>
  </property>
  <property fmtid="{D5CDD505-2E9C-101B-9397-08002B2CF9AE}" pid="13" name="_2015_ms_pID_725343_00">
    <vt:lpwstr>_2015_ms_pID_725343</vt:lpwstr>
  </property>
  <property fmtid="{D5CDD505-2E9C-101B-9397-08002B2CF9AE}" pid="14" name="_2015_ms_pID_7253431">
    <vt:lpwstr>+pAkHkZ7olb2Q3nUPUU8Z4yvDFwREbsJwF6JV+E/icQDtPKO/3g+i6
QP1OWWai1YHu9FoRRaWTwAhp5nG8uXgDSZMNS0IstcsnpE5/Y4Ul3qUfnFgBzXDVUa3a254c
xHJUhMnvO2T6FtvPcuof7dosCYZZ36KAoNrsQvOoX+RVk6ZYxtENJQLKOLJP0qnkUJmn8WfL
cq5ulbUS4oACA4Buuu3/9BtZGwxPRefhn6Ij</vt:lpwstr>
  </property>
  <property fmtid="{D5CDD505-2E9C-101B-9397-08002B2CF9AE}" pid="15" name="_2015_ms_pID_7253431_00">
    <vt:lpwstr>_2015_ms_pID_7253431</vt:lpwstr>
  </property>
  <property fmtid="{D5CDD505-2E9C-101B-9397-08002B2CF9AE}" pid="16" name="_2015_ms_pID_7253432">
    <vt:lpwstr>FllW5zQif2Xa7/VUTV+60ZkwoBiSH6RH01y+
lIEIvEC2sXzfL3hw+nq+jbcO1K00Fw==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